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960" w:before="0"/>
        <w:ind w:firstLine="0"/>
      </w:pPr>
      <w:r>
        <w:t>Прокуратура республики разъясняет: «Изменения в законодательстве Российской Федерации о противодействии коррупции, связанные с порядком предоставления сведений о доходах, расходах, об имуществе и обязательствах имущественного характера»</w:t>
      </w:r>
    </w:p>
    <w:p w14:paraId="02000000">
      <w:pPr>
        <w:pStyle w:val="Style_2"/>
        <w:widowControl w:val="1"/>
        <w:spacing w:after="0" w:before="0"/>
        <w:ind w:firstLine="0"/>
        <w:jc w:val="both"/>
      </w:pPr>
      <w:r>
        <w:t>С 1 января 2026 года в России вступили в силу значительные изменения в законодательстве о противодействии коррупции. Основные нововведения закреплены в Федеральном законе от 28 декабря 2025 года №505-ФЗ «О внесении изменений в отдельные законодательные акты Российской Федерации» и Указе Президента РФ от 31 декабря 2025 года №1009 «Об изменении и признании утратившими силу некоторых актов Президента Российской Федерации». </w:t>
      </w:r>
    </w:p>
    <w:p w14:paraId="03000000">
      <w:pPr>
        <w:pStyle w:val="Style_2"/>
        <w:widowControl w:val="1"/>
        <w:spacing w:after="0" w:before="0"/>
        <w:ind w:firstLine="0"/>
        <w:jc w:val="both"/>
      </w:pPr>
      <w:r>
        <w:t>1. Отмена ежегодного декларирования доходов.</w:t>
      </w:r>
    </w:p>
    <w:p w14:paraId="04000000">
      <w:pPr>
        <w:pStyle w:val="Style_2"/>
        <w:widowControl w:val="1"/>
        <w:spacing w:after="0" w:before="0"/>
        <w:ind w:firstLine="0"/>
        <w:jc w:val="both"/>
      </w:pPr>
      <w:r>
        <w:t>Госслужащие, депутаты и муниципальные служащие больше не обязаны ежегодно подавать справки о доходах, расходах, имуществе и обязательствах имущественного характера. Это связано с развитием цифровых технологий и запуском государственной информационной системы «Посейдон». </w:t>
      </w:r>
    </w:p>
    <w:p w14:paraId="05000000">
      <w:pPr>
        <w:pStyle w:val="Style_2"/>
        <w:widowControl w:val="1"/>
        <w:spacing w:after="0" w:before="0"/>
        <w:ind w:firstLine="0"/>
        <w:jc w:val="both"/>
      </w:pPr>
      <w:r>
        <w:t>«Посейдон» — государственная информационная система, которая в режиме реального времени отслеживает финансовое и имущественное положение должностных лиц и их семей. Она интегрирована с базами данных ФНС, Росфинмониторинга, Росреестра, Росимущества, Росавиации, ГИБДД и других ведомств. Система позволяет оперативно выявлять коррупционные риски и связи. </w:t>
      </w:r>
    </w:p>
    <w:p w14:paraId="06000000">
      <w:pPr>
        <w:pStyle w:val="Style_2"/>
        <w:widowControl w:val="1"/>
        <w:spacing w:after="0" w:before="0"/>
        <w:ind w:firstLine="0"/>
        <w:jc w:val="both"/>
      </w:pPr>
      <w:r>
        <w:t>Случаи обязательной подачи сведений:</w:t>
      </w:r>
    </w:p>
    <w:p w14:paraId="07000000">
      <w:pPr>
        <w:pStyle w:val="Style_2"/>
        <w:widowControl w:val="1"/>
        <w:spacing w:after="0" w:before="0"/>
        <w:ind w:firstLine="0"/>
        <w:jc w:val="both"/>
      </w:pPr>
      <w:r>
        <w:t>Декларации теперь необходимо подавать в следующих ситуациях:</w:t>
      </w:r>
    </w:p>
    <w:p w14:paraId="08000000">
      <w:pPr>
        <w:pStyle w:val="Style_2"/>
        <w:widowControl w:val="1"/>
        <w:spacing w:after="0" w:before="0"/>
        <w:ind w:firstLine="0"/>
        <w:jc w:val="both"/>
      </w:pPr>
      <w:r>
        <w:t>·  при поступлении на государственную или муниципальную службу;</w:t>
      </w:r>
    </w:p>
    <w:p w14:paraId="09000000">
      <w:pPr>
        <w:pStyle w:val="Style_2"/>
        <w:widowControl w:val="1"/>
        <w:spacing w:after="0" w:before="0"/>
        <w:ind w:firstLine="0"/>
        <w:jc w:val="both"/>
      </w:pPr>
      <w:r>
        <w:t>· при назначении на федеральные государственные должности и должности субъектов РФ;</w:t>
      </w:r>
    </w:p>
    <w:p w14:paraId="0A000000">
      <w:pPr>
        <w:pStyle w:val="Style_2"/>
        <w:widowControl w:val="1"/>
        <w:spacing w:after="0" w:before="0"/>
        <w:ind w:firstLine="0"/>
        <w:jc w:val="both"/>
      </w:pPr>
      <w:r>
        <w:t>· при переводе государственного служащего из одного органа власти в другой;</w:t>
      </w:r>
    </w:p>
    <w:p w14:paraId="0B000000">
      <w:pPr>
        <w:pStyle w:val="Style_2"/>
        <w:widowControl w:val="1"/>
        <w:spacing w:after="0" w:before="0"/>
        <w:ind w:firstLine="0"/>
        <w:jc w:val="both"/>
      </w:pPr>
      <w:r>
        <w:t>· при включении в федеральный кадровый резерв;</w:t>
      </w:r>
    </w:p>
    <w:p w14:paraId="0C000000">
      <w:pPr>
        <w:pStyle w:val="Style_2"/>
        <w:widowControl w:val="1"/>
        <w:spacing w:after="0" w:before="0"/>
        <w:ind w:firstLine="0"/>
        <w:jc w:val="both"/>
      </w:pPr>
      <w:r>
        <w:t>· при совершении сделки (сделок), общая сумма которой (которых) превышает общий доход чиновника, его супруги (супруга) и несовершеннолетних детей за три года, предшествующих отчётному периоду. </w:t>
      </w:r>
    </w:p>
    <w:p w14:paraId="0D000000">
      <w:pPr>
        <w:pStyle w:val="Style_2"/>
        <w:widowControl w:val="1"/>
        <w:spacing w:after="0" w:before="0"/>
        <w:ind w:firstLine="0"/>
        <w:jc w:val="both"/>
      </w:pPr>
      <w:r>
        <w:t>В случае возникновения таких оснований сведения нужно представить не позднее 30 апреля года, следующего за годом, в котором возникли эти основания. </w:t>
      </w:r>
    </w:p>
    <w:p w14:paraId="0E000000">
      <w:pPr>
        <w:pStyle w:val="Style_2"/>
        <w:widowControl w:val="1"/>
        <w:spacing w:after="0" w:before="0"/>
        <w:ind w:firstLine="0"/>
        <w:jc w:val="both"/>
      </w:pPr>
      <w:r>
        <w:t>2. Отмена публикации сведений в интернете. </w:t>
      </w:r>
    </w:p>
    <w:p w14:paraId="0F000000">
      <w:pPr>
        <w:pStyle w:val="Style_2"/>
        <w:widowControl w:val="1"/>
        <w:spacing w:after="0" w:before="0"/>
        <w:ind w:firstLine="0"/>
        <w:jc w:val="both"/>
      </w:pPr>
      <w:r>
        <w:t>Информация о доходах и имуществе больше не будет размещаться в открытом доступе. Вместо этого публикуется обобщённая информация о соблюдении закона. </w:t>
      </w:r>
    </w:p>
    <w:p w14:paraId="10000000">
      <w:pPr>
        <w:pStyle w:val="Style_2"/>
        <w:widowControl w:val="1"/>
        <w:spacing w:after="0" w:before="0"/>
        <w:ind w:firstLine="0"/>
        <w:jc w:val="both"/>
      </w:pPr>
      <w:r>
        <w:t>3. Контроль руководителей учреждений. </w:t>
      </w:r>
    </w:p>
    <w:p w14:paraId="11000000">
      <w:pPr>
        <w:pStyle w:val="Style_2"/>
        <w:widowControl w:val="1"/>
        <w:spacing w:after="0" w:before="0"/>
        <w:ind w:firstLine="0"/>
        <w:jc w:val="both"/>
      </w:pPr>
      <w:r>
        <w:t>Руководители государственных и муниципальных учреждений включены в перечень лиц, чьи расходы проверяются на соответствие доходам. </w:t>
      </w:r>
    </w:p>
    <w:p w14:paraId="12000000">
      <w:pPr>
        <w:pStyle w:val="Style_2"/>
        <w:widowControl w:val="1"/>
        <w:spacing w:after="0" w:before="0"/>
        <w:ind w:firstLine="0"/>
        <w:jc w:val="both"/>
      </w:pPr>
      <w:r>
        <w:t>4. Ужесточение ответственности. </w:t>
      </w:r>
    </w:p>
    <w:p w14:paraId="13000000">
      <w:pPr>
        <w:pStyle w:val="Style_2"/>
        <w:widowControl w:val="1"/>
        <w:spacing w:after="0" w:before="0"/>
        <w:ind w:firstLine="0"/>
        <w:jc w:val="both"/>
      </w:pPr>
      <w:r>
        <w:t>Госслужащий не сможет занимать должность, если представит заведомо неполные сведения о доходах, имуществе и обязательствах имущественного характера. </w:t>
      </w:r>
    </w:p>
    <w:p w14:paraId="14000000">
      <w:pPr>
        <w:pStyle w:val="Style_2"/>
        <w:widowControl w:val="1"/>
        <w:spacing w:after="0" w:before="0"/>
        <w:ind w:firstLine="0"/>
        <w:jc w:val="both"/>
      </w:pPr>
      <w:r>
        <w:t>Изменения затрагивают не только госслужащих, но и сотрудников правоохранительных органов, ЦБ РФ, госкорпораций, государственных внебюджетных фондов и других организаций с государственным участием. </w:t>
      </w:r>
    </w:p>
    <w:p w14:paraId="15000000">
      <w:pPr>
        <w:pStyle w:val="Style_2"/>
        <w:widowControl w:val="1"/>
        <w:spacing w:after="0" w:before="0"/>
        <w:ind w:firstLine="0"/>
        <w:jc w:val="both"/>
      </w:pPr>
      <w:r>
        <w:t>Подразделения по профилактике коррупционных правонарушений обязаны анализировать получаемые сведения о расходах и доходах госслужащих. </w:t>
      </w:r>
    </w:p>
    <w:p w14:paraId="16000000">
      <w:pPr>
        <w:pStyle w:val="Style_2"/>
        <w:widowControl w:val="1"/>
        <w:spacing w:after="0" w:before="0"/>
        <w:ind w:firstLine="0"/>
      </w:pPr>
      <w:r>
        <w:t>Эти изменения направлены на модернизацию системы антикоррупционного контроля с использованием цифровых технологий, что должно повысить оперативность выявления и пресечения коррупционных правонарушений.</w:t>
      </w:r>
    </w:p>
    <w:sectPr>
      <w:type w:val="nextPage"/>
      <w:pgSz w:h="16838" w:orient="portrait" w:w="11906"/>
      <w:pgMar w:bottom="1134" w:footer="0" w:gutter="0" w:header="0" w:left="1134" w:right="1134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/>
      <w:ind/>
    </w:pPr>
    <w:rPr>
      <w:rFonts w:ascii="Liberation Serif" w:hAnsi="Liberation Serif"/>
      <w:color w:val="000000"/>
      <w:sz w:val="24"/>
    </w:rPr>
  </w:style>
  <w:style w:default="1" w:styleId="Style_1_ch" w:type="character">
    <w:name w:val="Normal"/>
    <w:link w:val="Style_1"/>
    <w:rPr>
      <w:rFonts w:ascii="Liberation Serif" w:hAnsi="Liberation Serif"/>
      <w:color w:val="000000"/>
      <w:sz w:val="24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Указатель"/>
    <w:basedOn w:val="Style_1"/>
    <w:link w:val="Style_4_ch"/>
  </w:style>
  <w:style w:styleId="Style_4_ch" w:type="character">
    <w:name w:val="Указатель"/>
    <w:basedOn w:val="Style_1_ch"/>
    <w:link w:val="Style_4"/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Body Text"/>
    <w:basedOn w:val="Style_1"/>
    <w:link w:val="Style_2_ch"/>
    <w:pPr>
      <w:widowControl w:val="1"/>
      <w:spacing w:after="140" w:before="0" w:line="276" w:lineRule="auto"/>
      <w:ind/>
    </w:pPr>
  </w:style>
  <w:style w:styleId="Style_2_ch" w:type="character">
    <w:name w:val="Body Text"/>
    <w:basedOn w:val="Style_1_ch"/>
    <w:link w:val="Style_2"/>
  </w:style>
  <w:style w:styleId="Style_10" w:type="paragraph">
    <w:name w:val="Caption"/>
    <w:basedOn w:val="Style_1"/>
    <w:link w:val="Style_10_ch"/>
    <w:pPr>
      <w:widowControl w:val="1"/>
      <w:spacing w:after="120" w:before="120"/>
      <w:ind/>
    </w:pPr>
    <w:rPr>
      <w:i w:val="1"/>
      <w:sz w:val="24"/>
    </w:rPr>
  </w:style>
  <w:style w:styleId="Style_10_ch" w:type="character">
    <w:name w:val="Caption"/>
    <w:basedOn w:val="Style_1_ch"/>
    <w:link w:val="Style_10"/>
    <w:rPr>
      <w:i w:val="1"/>
      <w:sz w:val="24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Заголовок"/>
    <w:basedOn w:val="Style_1"/>
    <w:next w:val="Style_2"/>
    <w:link w:val="Style_2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_ch" w:type="character">
    <w:name w:val="Заголовок"/>
    <w:basedOn w:val="Style_1_ch"/>
    <w:link w:val="Style_20"/>
    <w:rPr>
      <w:rFonts w:ascii="Liberation Sans" w:hAnsi="Liberation San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List"/>
    <w:basedOn w:val="Style_2"/>
    <w:link w:val="Style_22_ch"/>
  </w:style>
  <w:style w:styleId="Style_22_ch" w:type="character">
    <w:name w:val="List"/>
    <w:basedOn w:val="Style_2_ch"/>
    <w:link w:val="Style_22"/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2026-05-28T12:55:31Z</dcterms:created>
  <dcterms:modified xsi:type="dcterms:W3CDTF">2026-06-02T13:10:46Z</dcterms:modified>
</cp:coreProperties>
</file>